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82779F" w14:textId="77777777" w:rsidR="005363A6" w:rsidRPr="00F05B6D" w:rsidRDefault="00F05B6D" w:rsidP="00F05B6D">
      <w:pPr>
        <w:pStyle w:val="NormalWeb"/>
        <w:spacing w:before="0" w:beforeAutospacing="0" w:after="0" w:afterAutospacing="0" w:line="480" w:lineRule="auto"/>
        <w:jc w:val="center"/>
        <w:rPr>
          <w:color w:val="1C1E29"/>
        </w:rPr>
      </w:pPr>
      <w:bookmarkStart w:id="0" w:name="_GoBack"/>
      <w:bookmarkEnd w:id="0"/>
      <w:r w:rsidRPr="00F05B6D">
        <w:rPr>
          <w:color w:val="1C1E29"/>
        </w:rPr>
        <w:t>Written Notes</w:t>
      </w:r>
    </w:p>
    <w:p w14:paraId="0333D01A" w14:textId="77777777" w:rsidR="005363A6" w:rsidRPr="00F05B6D" w:rsidRDefault="005363A6" w:rsidP="00F05B6D">
      <w:pPr>
        <w:pStyle w:val="NormalWeb"/>
        <w:spacing w:before="0" w:beforeAutospacing="0" w:after="0" w:afterAutospacing="0" w:line="480" w:lineRule="auto"/>
        <w:jc w:val="center"/>
        <w:rPr>
          <w:b/>
          <w:color w:val="1C1E29"/>
        </w:rPr>
      </w:pPr>
      <w:r w:rsidRPr="00F05B6D">
        <w:rPr>
          <w:b/>
          <w:color w:val="1C1E29"/>
        </w:rPr>
        <w:t xml:space="preserve">Introduction to law </w:t>
      </w:r>
      <w:r w:rsidR="00291C6B">
        <w:rPr>
          <w:b/>
          <w:color w:val="1C1E29"/>
        </w:rPr>
        <w:t>(</w:t>
      </w:r>
      <w:r w:rsidRPr="00F05B6D">
        <w:rPr>
          <w:b/>
          <w:color w:val="1C1E29"/>
        </w:rPr>
        <w:t>chapter 1</w:t>
      </w:r>
      <w:r w:rsidR="00291C6B">
        <w:rPr>
          <w:b/>
          <w:color w:val="1C1E29"/>
        </w:rPr>
        <w:t>)</w:t>
      </w:r>
    </w:p>
    <w:p w14:paraId="75C337E7" w14:textId="77777777" w:rsidR="005363A6" w:rsidRDefault="005363A6" w:rsidP="005363A6">
      <w:pPr>
        <w:pStyle w:val="NormalWeb"/>
        <w:spacing w:before="0" w:beforeAutospacing="0" w:after="0" w:afterAutospacing="0" w:line="480" w:lineRule="auto"/>
        <w:rPr>
          <w:color w:val="1C1E29"/>
        </w:rPr>
      </w:pPr>
      <w:r>
        <w:rPr>
          <w:rStyle w:val="Strong"/>
          <w:color w:val="1C1E29"/>
        </w:rPr>
        <w:t>Sources of the law</w:t>
      </w:r>
    </w:p>
    <w:p w14:paraId="5D449D8B" w14:textId="77777777" w:rsidR="005363A6" w:rsidRDefault="005363A6" w:rsidP="00F05B6D">
      <w:pPr>
        <w:pStyle w:val="NormalWeb"/>
        <w:spacing w:before="0" w:beforeAutospacing="0" w:after="0" w:afterAutospacing="0" w:line="480" w:lineRule="auto"/>
        <w:ind w:firstLine="720"/>
        <w:rPr>
          <w:color w:val="1C1E29"/>
        </w:rPr>
      </w:pPr>
      <w:r>
        <w:rPr>
          <w:color w:val="1C1E29"/>
        </w:rPr>
        <w:t>There are four sources of American law namely; Constitutional law, statutory law, Administrative law, and case law and common doctrines.</w:t>
      </w:r>
    </w:p>
    <w:p w14:paraId="2C5CBB62" w14:textId="77777777" w:rsidR="005363A6" w:rsidRDefault="005363A6" w:rsidP="005363A6">
      <w:pPr>
        <w:pStyle w:val="NormalWeb"/>
        <w:spacing w:before="0" w:beforeAutospacing="0" w:after="0" w:afterAutospacing="0" w:line="480" w:lineRule="auto"/>
        <w:rPr>
          <w:color w:val="1C1E29"/>
        </w:rPr>
      </w:pPr>
      <w:r>
        <w:rPr>
          <w:rStyle w:val="Emphasis"/>
          <w:rFonts w:eastAsiaTheme="minorEastAsia"/>
          <w:color w:val="1C1E29"/>
        </w:rPr>
        <w:t>Constitutional law</w:t>
      </w:r>
    </w:p>
    <w:p w14:paraId="7C8D68ED" w14:textId="77777777" w:rsidR="005363A6" w:rsidRDefault="005363A6" w:rsidP="00F05B6D">
      <w:pPr>
        <w:pStyle w:val="NormalWeb"/>
        <w:spacing w:before="0" w:beforeAutospacing="0" w:after="0" w:afterAutospacing="0" w:line="480" w:lineRule="auto"/>
        <w:ind w:firstLine="720"/>
        <w:rPr>
          <w:color w:val="1C1E29"/>
        </w:rPr>
      </w:pPr>
      <w:r>
        <w:rPr>
          <w:color w:val="1C1E29"/>
        </w:rPr>
        <w:t>This is the law as displayed in the constitution which is the supreme law reference material. It includes both the federal constitution and state constitutions. The US constitution reigns supreme in the entire country but state constitutions are supreme within the borders of the state and do must not violate the U.S. Constitution.</w:t>
      </w:r>
    </w:p>
    <w:p w14:paraId="57FF537E" w14:textId="77777777" w:rsidR="005363A6" w:rsidRDefault="005363A6" w:rsidP="005363A6">
      <w:pPr>
        <w:pStyle w:val="NormalWeb"/>
        <w:spacing w:before="0" w:beforeAutospacing="0" w:after="0" w:afterAutospacing="0" w:line="480" w:lineRule="auto"/>
        <w:rPr>
          <w:color w:val="1C1E29"/>
        </w:rPr>
      </w:pPr>
      <w:r>
        <w:rPr>
          <w:rStyle w:val="Emphasis"/>
          <w:rFonts w:eastAsiaTheme="minorEastAsia"/>
          <w:color w:val="1C1E29"/>
        </w:rPr>
        <w:t>Statutory law</w:t>
      </w:r>
    </w:p>
    <w:p w14:paraId="7932EB4D" w14:textId="77777777" w:rsidR="005363A6" w:rsidRDefault="005363A6" w:rsidP="00F05B6D">
      <w:pPr>
        <w:pStyle w:val="NormalWeb"/>
        <w:spacing w:before="0" w:beforeAutospacing="0" w:after="0" w:afterAutospacing="0" w:line="480" w:lineRule="auto"/>
        <w:ind w:firstLine="720"/>
        <w:rPr>
          <w:color w:val="1C1E29"/>
        </w:rPr>
      </w:pPr>
      <w:r>
        <w:rPr>
          <w:color w:val="1C1E29"/>
        </w:rPr>
        <w:t>These are laws that are periodically developed by local, state, and federal legislatures and governing bodies. The laws must be within the restrictions of the relevant state and federal constitutions.</w:t>
      </w:r>
    </w:p>
    <w:p w14:paraId="3179E3B5" w14:textId="77777777" w:rsidR="005363A6" w:rsidRDefault="005363A6" w:rsidP="005363A6">
      <w:pPr>
        <w:pStyle w:val="NormalWeb"/>
        <w:spacing w:before="0" w:beforeAutospacing="0" w:after="0" w:afterAutospacing="0" w:line="480" w:lineRule="auto"/>
        <w:rPr>
          <w:color w:val="1C1E29"/>
        </w:rPr>
      </w:pPr>
      <w:r>
        <w:rPr>
          <w:rStyle w:val="Emphasis"/>
          <w:rFonts w:eastAsiaTheme="minorEastAsia"/>
          <w:color w:val="1C1E29"/>
        </w:rPr>
        <w:t>Administrative law</w:t>
      </w:r>
    </w:p>
    <w:p w14:paraId="2C215E9D" w14:textId="77777777" w:rsidR="005363A6" w:rsidRDefault="005363A6" w:rsidP="00F05B6D">
      <w:pPr>
        <w:pStyle w:val="NormalWeb"/>
        <w:spacing w:before="0" w:beforeAutospacing="0" w:after="0" w:afterAutospacing="0" w:line="480" w:lineRule="auto"/>
        <w:ind w:firstLine="720"/>
        <w:rPr>
          <w:color w:val="1C1E29"/>
        </w:rPr>
      </w:pPr>
      <w:r>
        <w:rPr>
          <w:color w:val="1C1E29"/>
        </w:rPr>
        <w:t>These are rules, regulations, decisions, and orders produced by the federal, state, or local jurisdictions and administrative agencies.</w:t>
      </w:r>
    </w:p>
    <w:p w14:paraId="173767EE" w14:textId="77777777" w:rsidR="005363A6" w:rsidRDefault="005363A6" w:rsidP="005363A6">
      <w:pPr>
        <w:pStyle w:val="NormalWeb"/>
        <w:spacing w:before="0" w:beforeAutospacing="0" w:after="0" w:afterAutospacing="0" w:line="480" w:lineRule="auto"/>
        <w:rPr>
          <w:color w:val="1C1E29"/>
        </w:rPr>
      </w:pPr>
      <w:r>
        <w:rPr>
          <w:rStyle w:val="Emphasis"/>
          <w:rFonts w:eastAsiaTheme="minorEastAsia"/>
          <w:color w:val="1C1E29"/>
        </w:rPr>
        <w:t>And case law and common doctrines</w:t>
      </w:r>
    </w:p>
    <w:p w14:paraId="439AE675" w14:textId="77777777" w:rsidR="005363A6" w:rsidRDefault="005363A6" w:rsidP="00F05B6D">
      <w:pPr>
        <w:pStyle w:val="NormalWeb"/>
        <w:spacing w:before="0" w:beforeAutospacing="0" w:after="0" w:afterAutospacing="0" w:line="480" w:lineRule="auto"/>
        <w:ind w:firstLine="720"/>
        <w:rPr>
          <w:color w:val="1C1E29"/>
        </w:rPr>
      </w:pPr>
      <w:r>
        <w:rPr>
          <w:color w:val="1C1E29"/>
        </w:rPr>
        <w:t>These are laws made by judges including constitutional interpretations and other statutes enacted by legislatures and administrative bodies. Common law governs all areas that may not be covered by statutory law or agency regulations.</w:t>
      </w:r>
    </w:p>
    <w:p w14:paraId="2887FDE8" w14:textId="77777777" w:rsidR="005363A6" w:rsidRDefault="005363A6" w:rsidP="005363A6">
      <w:pPr>
        <w:pStyle w:val="NormalWeb"/>
        <w:spacing w:before="0" w:beforeAutospacing="0" w:after="0" w:afterAutospacing="0" w:line="480" w:lineRule="auto"/>
        <w:rPr>
          <w:color w:val="1C1E29"/>
        </w:rPr>
      </w:pPr>
      <w:r>
        <w:rPr>
          <w:rStyle w:val="Strong"/>
          <w:color w:val="1C1E29"/>
        </w:rPr>
        <w:t>The difference between precedent, stare decisis and binding authority</w:t>
      </w:r>
    </w:p>
    <w:p w14:paraId="04247A3D" w14:textId="77777777" w:rsidR="005363A6" w:rsidRDefault="005363A6" w:rsidP="00F05B6D">
      <w:pPr>
        <w:pStyle w:val="NormalWeb"/>
        <w:spacing w:before="0" w:beforeAutospacing="0" w:after="0" w:afterAutospacing="0" w:line="480" w:lineRule="auto"/>
        <w:ind w:firstLine="720"/>
        <w:rPr>
          <w:color w:val="1C1E29"/>
        </w:rPr>
      </w:pPr>
      <w:r>
        <w:rPr>
          <w:color w:val="1C1E29"/>
        </w:rPr>
        <w:lastRenderedPageBreak/>
        <w:t>A precedent is a principle established from the decision of a previous legal case that either binds or persuades a court when determining subsequent cases with like facts or issues.</w:t>
      </w:r>
    </w:p>
    <w:p w14:paraId="0672182E" w14:textId="77777777" w:rsidR="005363A6" w:rsidRDefault="005363A6" w:rsidP="00F05B6D">
      <w:pPr>
        <w:pStyle w:val="NormalWeb"/>
        <w:spacing w:before="0" w:beforeAutospacing="0" w:after="0" w:afterAutospacing="0" w:line="480" w:lineRule="auto"/>
        <w:ind w:firstLine="720"/>
        <w:rPr>
          <w:color w:val="1C1E29"/>
        </w:rPr>
      </w:pPr>
      <w:r>
        <w:rPr>
          <w:color w:val="1C1E29"/>
        </w:rPr>
        <w:t>Stare decisis is to stand on decided cases.</w:t>
      </w:r>
    </w:p>
    <w:p w14:paraId="62166205" w14:textId="77777777" w:rsidR="005363A6" w:rsidRDefault="005363A6" w:rsidP="00F05B6D">
      <w:pPr>
        <w:pStyle w:val="NormalWeb"/>
        <w:spacing w:before="0" w:beforeAutospacing="0" w:after="0" w:afterAutospacing="0" w:line="480" w:lineRule="auto"/>
        <w:ind w:firstLine="720"/>
        <w:rPr>
          <w:color w:val="1C1E29"/>
        </w:rPr>
      </w:pPr>
      <w:r>
        <w:rPr>
          <w:color w:val="1C1E29"/>
        </w:rPr>
        <w:t>Binding authority is the source of the law that judges must evaluate when making decisions in a case.</w:t>
      </w:r>
    </w:p>
    <w:p w14:paraId="0FBB3455" w14:textId="77777777" w:rsidR="005363A6" w:rsidRDefault="005363A6" w:rsidP="005363A6">
      <w:pPr>
        <w:pStyle w:val="NormalWeb"/>
        <w:spacing w:before="0" w:beforeAutospacing="0" w:after="0" w:afterAutospacing="0" w:line="480" w:lineRule="auto"/>
        <w:rPr>
          <w:color w:val="1C1E29"/>
        </w:rPr>
      </w:pPr>
      <w:r>
        <w:rPr>
          <w:rStyle w:val="Strong"/>
          <w:color w:val="1C1E29"/>
        </w:rPr>
        <w:t>Brown v. Board of Education</w:t>
      </w:r>
    </w:p>
    <w:p w14:paraId="1BD3648B" w14:textId="77777777" w:rsidR="005363A6" w:rsidRDefault="005363A6" w:rsidP="00F05B6D">
      <w:pPr>
        <w:pStyle w:val="NormalWeb"/>
        <w:spacing w:before="0" w:beforeAutospacing="0" w:after="0" w:afterAutospacing="0" w:line="480" w:lineRule="auto"/>
        <w:ind w:firstLine="720"/>
        <w:rPr>
          <w:color w:val="1C1E29"/>
        </w:rPr>
      </w:pPr>
      <w:r>
        <w:rPr>
          <w:color w:val="1C1E29"/>
        </w:rPr>
        <w:t>Oliver Brown was denied entry into a segregated white school. He filed a claim that public school segregation laws violated the equal protection clause of the 14th Amendment. A district court had upheld segregation using Plessy v. Ferguson as an authority but upon petitioning the U. S. Supreme Court, the precedent was overturned because the court agreed with Brown’s claim of denial of equal protection rights.</w:t>
      </w:r>
    </w:p>
    <w:p w14:paraId="17C4DCCC" w14:textId="77777777" w:rsidR="005363A6" w:rsidRDefault="005363A6" w:rsidP="00F05B6D">
      <w:pPr>
        <w:pStyle w:val="NormalWeb"/>
        <w:spacing w:before="0" w:beforeAutospacing="0" w:after="0" w:afterAutospacing="0" w:line="480" w:lineRule="auto"/>
        <w:jc w:val="center"/>
        <w:rPr>
          <w:color w:val="1C1E29"/>
        </w:rPr>
      </w:pPr>
      <w:r>
        <w:rPr>
          <w:rStyle w:val="Strong"/>
          <w:color w:val="1C1E29"/>
        </w:rPr>
        <w:t xml:space="preserve">Constitutional law </w:t>
      </w:r>
      <w:r w:rsidR="00291C6B">
        <w:rPr>
          <w:rStyle w:val="Strong"/>
          <w:color w:val="1C1E29"/>
        </w:rPr>
        <w:t>(</w:t>
      </w:r>
      <w:r>
        <w:rPr>
          <w:rStyle w:val="Strong"/>
          <w:color w:val="1C1E29"/>
        </w:rPr>
        <w:t>chapter 4</w:t>
      </w:r>
      <w:r w:rsidR="00291C6B">
        <w:rPr>
          <w:rStyle w:val="Strong"/>
          <w:color w:val="1C1E29"/>
        </w:rPr>
        <w:t>)</w:t>
      </w:r>
    </w:p>
    <w:p w14:paraId="76574FB4" w14:textId="77777777" w:rsidR="005363A6" w:rsidRPr="00F05B6D" w:rsidRDefault="005363A6" w:rsidP="005363A6">
      <w:pPr>
        <w:pStyle w:val="NormalWeb"/>
        <w:spacing w:before="0" w:beforeAutospacing="0" w:after="0" w:afterAutospacing="0" w:line="480" w:lineRule="auto"/>
        <w:rPr>
          <w:i/>
          <w:color w:val="1C1E29"/>
        </w:rPr>
      </w:pPr>
      <w:r w:rsidRPr="00F05B6D">
        <w:rPr>
          <w:i/>
          <w:color w:val="1C1E29"/>
        </w:rPr>
        <w:t>Gibbons v. Ogden</w:t>
      </w:r>
    </w:p>
    <w:p w14:paraId="0E99A52E" w14:textId="77777777" w:rsidR="005363A6" w:rsidRDefault="005363A6" w:rsidP="00F05B6D">
      <w:pPr>
        <w:pStyle w:val="NormalWeb"/>
        <w:spacing w:before="0" w:beforeAutospacing="0" w:after="0" w:afterAutospacing="0" w:line="480" w:lineRule="auto"/>
        <w:ind w:firstLine="720"/>
        <w:rPr>
          <w:color w:val="1C1E29"/>
        </w:rPr>
      </w:pPr>
      <w:r>
        <w:rPr>
          <w:color w:val="1C1E29"/>
        </w:rPr>
        <w:t>In Gibbons v. Ogden, the Supreme Court held that the power to regulate interstate commerce that was given to congress the United States constitution commerce clause included the power to regulate navigation. The case was decided in 1824. States can therefore not interfere with congress’ responsibility to regulate commerce.</w:t>
      </w:r>
    </w:p>
    <w:p w14:paraId="376281B2" w14:textId="77777777" w:rsidR="005363A6" w:rsidRPr="00F05B6D" w:rsidRDefault="005363A6" w:rsidP="005363A6">
      <w:pPr>
        <w:pStyle w:val="NormalWeb"/>
        <w:spacing w:before="0" w:beforeAutospacing="0" w:after="0" w:afterAutospacing="0" w:line="480" w:lineRule="auto"/>
        <w:rPr>
          <w:i/>
          <w:color w:val="1C1E29"/>
        </w:rPr>
      </w:pPr>
      <w:r w:rsidRPr="00F05B6D">
        <w:rPr>
          <w:i/>
          <w:color w:val="1C1E29"/>
        </w:rPr>
        <w:t>California Winemakers – dormant commerce clause</w:t>
      </w:r>
    </w:p>
    <w:p w14:paraId="5916550A" w14:textId="77777777" w:rsidR="005363A6" w:rsidRDefault="005363A6" w:rsidP="00F05B6D">
      <w:pPr>
        <w:pStyle w:val="NormalWeb"/>
        <w:spacing w:before="0" w:beforeAutospacing="0" w:after="0" w:afterAutospacing="0" w:line="480" w:lineRule="auto"/>
        <w:ind w:firstLine="720"/>
        <w:rPr>
          <w:color w:val="1C1E29"/>
        </w:rPr>
      </w:pPr>
      <w:r>
        <w:rPr>
          <w:color w:val="1C1E29"/>
        </w:rPr>
        <w:t>The dominant commerce clause of the Constitution mandates the national government exclusive rights to regulate interstate commerce. The states do not have authority over the business with other states. However, businesses must comply with the laws of the states they operate in.</w:t>
      </w:r>
    </w:p>
    <w:p w14:paraId="48C9567F" w14:textId="77777777" w:rsidR="005363A6" w:rsidRPr="00F05B6D" w:rsidRDefault="005363A6" w:rsidP="005363A6">
      <w:pPr>
        <w:pStyle w:val="NormalWeb"/>
        <w:spacing w:before="0" w:beforeAutospacing="0" w:after="0" w:afterAutospacing="0" w:line="480" w:lineRule="auto"/>
        <w:rPr>
          <w:i/>
          <w:color w:val="1C1E29"/>
        </w:rPr>
      </w:pPr>
      <w:r w:rsidRPr="00F05B6D">
        <w:rPr>
          <w:i/>
          <w:color w:val="1C1E29"/>
        </w:rPr>
        <w:t>Bad Frog Brewery Inc. v. New York State Liquor Authority</w:t>
      </w:r>
    </w:p>
    <w:p w14:paraId="6F081542" w14:textId="77777777" w:rsidR="005363A6" w:rsidRDefault="005363A6" w:rsidP="00F05B6D">
      <w:pPr>
        <w:pStyle w:val="NormalWeb"/>
        <w:spacing w:before="0" w:beforeAutospacing="0" w:after="0" w:afterAutospacing="0" w:line="480" w:lineRule="auto"/>
        <w:ind w:firstLine="720"/>
        <w:rPr>
          <w:color w:val="1C1E29"/>
        </w:rPr>
      </w:pPr>
      <w:r>
        <w:rPr>
          <w:color w:val="1C1E29"/>
        </w:rPr>
        <w:lastRenderedPageBreak/>
        <w:t>New York State Liquor Authority violated the first amendment rights of Bad Frog Brewery by denying them approval for the label on grounds of vulgarity and the urge to protect children. The Court of Appeals overturned the lower court’s decision and granted Bad Frog the green light to proceed with their label.</w:t>
      </w:r>
    </w:p>
    <w:p w14:paraId="24247DFD" w14:textId="77777777" w:rsidR="005363A6" w:rsidRPr="00F05B6D" w:rsidRDefault="005363A6" w:rsidP="005363A6">
      <w:pPr>
        <w:pStyle w:val="NormalWeb"/>
        <w:spacing w:before="0" w:beforeAutospacing="0" w:after="0" w:afterAutospacing="0" w:line="480" w:lineRule="auto"/>
        <w:rPr>
          <w:i/>
          <w:color w:val="1C1E29"/>
        </w:rPr>
      </w:pPr>
      <w:r w:rsidRPr="00F05B6D">
        <w:rPr>
          <w:i/>
          <w:color w:val="1C1E29"/>
        </w:rPr>
        <w:t>Fighting Words – Chaplinsky and Cohen v Cal</w:t>
      </w:r>
    </w:p>
    <w:p w14:paraId="270213E0" w14:textId="77777777" w:rsidR="005363A6" w:rsidRDefault="005363A6" w:rsidP="00F05B6D">
      <w:pPr>
        <w:pStyle w:val="NormalWeb"/>
        <w:spacing w:before="0" w:beforeAutospacing="0" w:after="0" w:afterAutospacing="0" w:line="480" w:lineRule="auto"/>
        <w:ind w:firstLine="720"/>
        <w:rPr>
          <w:color w:val="1C1E29"/>
        </w:rPr>
      </w:pPr>
      <w:r>
        <w:rPr>
          <w:color w:val="1C1E29"/>
        </w:rPr>
        <w:t>Cohen v. California was a supreme court case held the First Amendment rights prevented the conviction of Paul Cohen who was convicted for wearing a jacket displaying “fuck the draft” in California public courthouse corridors</w:t>
      </w:r>
    </w:p>
    <w:p w14:paraId="15C13E5C" w14:textId="77777777" w:rsidR="005363A6" w:rsidRDefault="005363A6" w:rsidP="00F05B6D">
      <w:pPr>
        <w:pStyle w:val="NormalWeb"/>
        <w:spacing w:before="0" w:beforeAutospacing="0" w:after="0" w:afterAutospacing="0" w:line="480" w:lineRule="auto"/>
        <w:ind w:firstLine="720"/>
        <w:rPr>
          <w:color w:val="1C1E29"/>
        </w:rPr>
      </w:pPr>
      <w:r>
        <w:rPr>
          <w:color w:val="1C1E29"/>
        </w:rPr>
        <w:t>The bill of rights comprises the first ten amendments made to the United States constitution to assure the citizens of their rights and freedoms</w:t>
      </w:r>
    </w:p>
    <w:p w14:paraId="31821BED" w14:textId="77777777" w:rsidR="005363A6" w:rsidRDefault="005363A6" w:rsidP="00F05B6D">
      <w:pPr>
        <w:pStyle w:val="NormalWeb"/>
        <w:spacing w:before="0" w:beforeAutospacing="0" w:after="0" w:afterAutospacing="0" w:line="480" w:lineRule="auto"/>
        <w:ind w:firstLine="720"/>
        <w:rPr>
          <w:color w:val="1C1E29"/>
        </w:rPr>
      </w:pPr>
      <w:r>
        <w:rPr>
          <w:color w:val="1C1E29"/>
        </w:rPr>
        <w:t>The Supreme Court is the highest court in the land. It comprises 9 justices who are appointed by the president and approved by the senate. They serve for life. The newest member of the Supreme Court currently is Brett Kavanagh while the chief justice is John Roberts.</w:t>
      </w:r>
    </w:p>
    <w:p w14:paraId="67761808" w14:textId="77777777" w:rsidR="005363A6" w:rsidRDefault="005363A6" w:rsidP="005363A6">
      <w:pPr>
        <w:pStyle w:val="NormalWeb"/>
        <w:spacing w:before="0" w:beforeAutospacing="0" w:after="0" w:afterAutospacing="0" w:line="480" w:lineRule="auto"/>
        <w:rPr>
          <w:color w:val="1C1E29"/>
        </w:rPr>
      </w:pPr>
      <w:r>
        <w:rPr>
          <w:color w:val="1C1E29"/>
        </w:rPr>
        <w:t>The freedom of speech is guaranteed for every citizen including symbolic speech.</w:t>
      </w:r>
    </w:p>
    <w:p w14:paraId="3884C8F1" w14:textId="77777777" w:rsidR="005363A6" w:rsidRDefault="005363A6" w:rsidP="00F05B6D">
      <w:pPr>
        <w:pStyle w:val="NormalWeb"/>
        <w:spacing w:before="0" w:beforeAutospacing="0" w:after="0" w:afterAutospacing="0" w:line="480" w:lineRule="auto"/>
        <w:jc w:val="center"/>
        <w:rPr>
          <w:color w:val="1C1E29"/>
        </w:rPr>
      </w:pPr>
      <w:r>
        <w:rPr>
          <w:rStyle w:val="Strong"/>
          <w:color w:val="1C1E29"/>
        </w:rPr>
        <w:t xml:space="preserve">Administrative law </w:t>
      </w:r>
      <w:r w:rsidR="00291C6B">
        <w:rPr>
          <w:rStyle w:val="Strong"/>
          <w:color w:val="1C1E29"/>
        </w:rPr>
        <w:t>(</w:t>
      </w:r>
      <w:r>
        <w:rPr>
          <w:rStyle w:val="Strong"/>
          <w:color w:val="1C1E29"/>
        </w:rPr>
        <w:t>chapter 19</w:t>
      </w:r>
      <w:r w:rsidR="00291C6B">
        <w:rPr>
          <w:rStyle w:val="Strong"/>
          <w:color w:val="1C1E29"/>
        </w:rPr>
        <w:t>)</w:t>
      </w:r>
    </w:p>
    <w:p w14:paraId="591D9DD1" w14:textId="77777777" w:rsidR="005363A6" w:rsidRDefault="005363A6" w:rsidP="00F05B6D">
      <w:pPr>
        <w:pStyle w:val="NormalWeb"/>
        <w:spacing w:before="0" w:beforeAutospacing="0" w:after="0" w:afterAutospacing="0" w:line="480" w:lineRule="auto"/>
        <w:ind w:firstLine="720"/>
        <w:rPr>
          <w:color w:val="1C1E29"/>
        </w:rPr>
      </w:pPr>
      <w:r>
        <w:rPr>
          <w:color w:val="1C1E29"/>
        </w:rPr>
        <w:t>An administrative agency is established to perform a specific function in the government. Administrative agencies are created by the constitution, congress and delegation doctrine. Enabling legislation for administrative agencies must include their name, purpose, functions and power limits. There are two types of administrative agencies namely</w:t>
      </w:r>
    </w:p>
    <w:p w14:paraId="603C33B7" w14:textId="77777777" w:rsidR="005363A6" w:rsidRDefault="005363A6" w:rsidP="00F05B6D">
      <w:pPr>
        <w:pStyle w:val="NormalWeb"/>
        <w:numPr>
          <w:ilvl w:val="0"/>
          <w:numId w:val="1"/>
        </w:numPr>
        <w:spacing w:before="0" w:beforeAutospacing="0" w:after="0" w:afterAutospacing="0" w:line="480" w:lineRule="auto"/>
        <w:rPr>
          <w:color w:val="1C1E29"/>
        </w:rPr>
      </w:pPr>
      <w:r>
        <w:rPr>
          <w:color w:val="1C1E29"/>
        </w:rPr>
        <w:t>Independent regulatory agencies</w:t>
      </w:r>
    </w:p>
    <w:p w14:paraId="0098D6B1" w14:textId="77777777" w:rsidR="005363A6" w:rsidRDefault="005363A6" w:rsidP="00F05B6D">
      <w:pPr>
        <w:pStyle w:val="NormalWeb"/>
        <w:numPr>
          <w:ilvl w:val="0"/>
          <w:numId w:val="1"/>
        </w:numPr>
        <w:spacing w:before="0" w:beforeAutospacing="0" w:after="0" w:afterAutospacing="0" w:line="480" w:lineRule="auto"/>
        <w:rPr>
          <w:color w:val="1C1E29"/>
        </w:rPr>
      </w:pPr>
      <w:r>
        <w:rPr>
          <w:color w:val="1C1E29"/>
        </w:rPr>
        <w:t>Executive agencies</w:t>
      </w:r>
    </w:p>
    <w:p w14:paraId="0270E44D" w14:textId="77777777" w:rsidR="005363A6" w:rsidRDefault="005363A6" w:rsidP="00F05B6D">
      <w:pPr>
        <w:pStyle w:val="NormalWeb"/>
        <w:spacing w:before="0" w:beforeAutospacing="0" w:after="0" w:afterAutospacing="0" w:line="480" w:lineRule="auto"/>
        <w:ind w:firstLine="360"/>
        <w:rPr>
          <w:color w:val="1C1E29"/>
        </w:rPr>
      </w:pPr>
      <w:r>
        <w:rPr>
          <w:color w:val="1C1E29"/>
        </w:rPr>
        <w:t>The judicial process is the administration of justice via the judicial system while the administrative process is the administration of laws by relevant administrative agencies</w:t>
      </w:r>
    </w:p>
    <w:p w14:paraId="3FF30097" w14:textId="77777777" w:rsidR="005363A6" w:rsidRDefault="005363A6" w:rsidP="005363A6">
      <w:pPr>
        <w:pStyle w:val="NormalWeb"/>
        <w:spacing w:before="0" w:beforeAutospacing="0" w:after="0" w:afterAutospacing="0" w:line="480" w:lineRule="auto"/>
        <w:rPr>
          <w:color w:val="1C1E29"/>
        </w:rPr>
      </w:pPr>
      <w:r>
        <w:rPr>
          <w:color w:val="1C1E29"/>
        </w:rPr>
        <w:lastRenderedPageBreak/>
        <w:t>The functions of the administrative process include rulemaking, enforcement, and adjudication.</w:t>
      </w:r>
    </w:p>
    <w:p w14:paraId="686A830B" w14:textId="77777777" w:rsidR="005363A6" w:rsidRDefault="005363A6" w:rsidP="005363A6">
      <w:pPr>
        <w:pStyle w:val="NormalWeb"/>
        <w:spacing w:before="0" w:beforeAutospacing="0" w:after="0" w:afterAutospacing="0" w:line="480" w:lineRule="auto"/>
        <w:rPr>
          <w:color w:val="1C1E29"/>
        </w:rPr>
      </w:pPr>
      <w:r>
        <w:rPr>
          <w:color w:val="1C1E29"/>
        </w:rPr>
        <w:t>Administrative agencies are subject to court judicial reviews. The reviews can only happen when:</w:t>
      </w:r>
    </w:p>
    <w:p w14:paraId="59323AF3" w14:textId="77777777" w:rsidR="005363A6" w:rsidRDefault="005363A6" w:rsidP="00F05B6D">
      <w:pPr>
        <w:pStyle w:val="NormalWeb"/>
        <w:numPr>
          <w:ilvl w:val="0"/>
          <w:numId w:val="2"/>
        </w:numPr>
        <w:spacing w:before="0" w:beforeAutospacing="0" w:after="0" w:afterAutospacing="0" w:line="480" w:lineRule="auto"/>
        <w:rPr>
          <w:color w:val="1C1E29"/>
        </w:rPr>
      </w:pPr>
      <w:r>
        <w:rPr>
          <w:color w:val="1C1E29"/>
        </w:rPr>
        <w:t>The action is reviewable</w:t>
      </w:r>
    </w:p>
    <w:p w14:paraId="770C6313" w14:textId="77777777" w:rsidR="005363A6" w:rsidRDefault="005363A6" w:rsidP="00F05B6D">
      <w:pPr>
        <w:pStyle w:val="NormalWeb"/>
        <w:numPr>
          <w:ilvl w:val="0"/>
          <w:numId w:val="2"/>
        </w:numPr>
        <w:spacing w:before="0" w:beforeAutospacing="0" w:after="0" w:afterAutospacing="0" w:line="480" w:lineRule="auto"/>
        <w:rPr>
          <w:color w:val="1C1E29"/>
        </w:rPr>
      </w:pPr>
      <w:r>
        <w:rPr>
          <w:color w:val="1C1E29"/>
        </w:rPr>
        <w:t>The party must have the ability to sue</w:t>
      </w:r>
    </w:p>
    <w:p w14:paraId="3141D833" w14:textId="77777777" w:rsidR="005363A6" w:rsidRDefault="005363A6" w:rsidP="00F05B6D">
      <w:pPr>
        <w:pStyle w:val="NormalWeb"/>
        <w:numPr>
          <w:ilvl w:val="0"/>
          <w:numId w:val="2"/>
        </w:numPr>
        <w:spacing w:before="0" w:beforeAutospacing="0" w:after="0" w:afterAutospacing="0" w:line="480" w:lineRule="auto"/>
        <w:rPr>
          <w:color w:val="1C1E29"/>
        </w:rPr>
      </w:pPr>
      <w:r>
        <w:rPr>
          <w:color w:val="1C1E29"/>
        </w:rPr>
        <w:t>The party must have exhausted all alternative remedies</w:t>
      </w:r>
    </w:p>
    <w:p w14:paraId="460FDF97" w14:textId="77777777" w:rsidR="005363A6" w:rsidRDefault="005363A6" w:rsidP="00F05B6D">
      <w:pPr>
        <w:pStyle w:val="NormalWeb"/>
        <w:numPr>
          <w:ilvl w:val="0"/>
          <w:numId w:val="2"/>
        </w:numPr>
        <w:spacing w:before="0" w:beforeAutospacing="0" w:after="0" w:afterAutospacing="0" w:line="480" w:lineRule="auto"/>
        <w:rPr>
          <w:color w:val="1C1E29"/>
        </w:rPr>
      </w:pPr>
      <w:r>
        <w:rPr>
          <w:color w:val="1C1E29"/>
        </w:rPr>
        <w:t>The actual controversy must be present</w:t>
      </w:r>
    </w:p>
    <w:p w14:paraId="6A016D22" w14:textId="77777777" w:rsidR="005363A6" w:rsidRDefault="005363A6" w:rsidP="00F05B6D">
      <w:pPr>
        <w:pStyle w:val="NormalWeb"/>
        <w:spacing w:before="0" w:beforeAutospacing="0" w:after="0" w:afterAutospacing="0" w:line="480" w:lineRule="auto"/>
        <w:ind w:firstLine="360"/>
        <w:rPr>
          <w:color w:val="1C1E29"/>
        </w:rPr>
      </w:pPr>
      <w:r>
        <w:rPr>
          <w:color w:val="1C1E29"/>
        </w:rPr>
        <w:t>Courts can review agencies that do not work properly according to the law, constitution, enabling legislation and where evidence of wrongdoing is presented</w:t>
      </w:r>
    </w:p>
    <w:p w14:paraId="53C4A3EB" w14:textId="77777777" w:rsidR="005363A6" w:rsidRDefault="005363A6" w:rsidP="00F05B6D">
      <w:pPr>
        <w:pStyle w:val="NormalWeb"/>
        <w:spacing w:before="0" w:beforeAutospacing="0" w:after="0" w:afterAutospacing="0" w:line="480" w:lineRule="auto"/>
        <w:ind w:firstLine="360"/>
        <w:rPr>
          <w:color w:val="1C1E29"/>
        </w:rPr>
      </w:pPr>
      <w:r>
        <w:rPr>
          <w:color w:val="1C1E29"/>
        </w:rPr>
        <w:t>The president has power over administrative agencies through the appointment of federal officers and creates or affects agencies powers through vetoes of legislations. Congress can legislate to give power to an agency, take power away or regulate the finances of the agency. Congress also makes agencies to account to the public by checking them. Congress has passed many laws to monitor the working of agencies to ensure that they do not become grounds for corruption and misappropriation. States create agencies to provide more localized services tailored for the people.</w:t>
      </w:r>
    </w:p>
    <w:p w14:paraId="39D13DCC" w14:textId="77777777" w:rsidR="0092774F" w:rsidRPr="005363A6" w:rsidRDefault="0092774F" w:rsidP="005363A6">
      <w:pPr>
        <w:spacing w:line="480" w:lineRule="auto"/>
      </w:pPr>
    </w:p>
    <w:sectPr w:rsidR="0092774F" w:rsidRPr="00536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E455E"/>
    <w:multiLevelType w:val="hybridMultilevel"/>
    <w:tmpl w:val="F7844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7804DD"/>
    <w:multiLevelType w:val="hybridMultilevel"/>
    <w:tmpl w:val="A5203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23C"/>
    <w:rsid w:val="000A02C8"/>
    <w:rsid w:val="001E38D6"/>
    <w:rsid w:val="00291C6B"/>
    <w:rsid w:val="003A3D1F"/>
    <w:rsid w:val="00413728"/>
    <w:rsid w:val="005363A6"/>
    <w:rsid w:val="005D5414"/>
    <w:rsid w:val="0078441F"/>
    <w:rsid w:val="00837DF9"/>
    <w:rsid w:val="008B7800"/>
    <w:rsid w:val="0092774F"/>
    <w:rsid w:val="009B223C"/>
    <w:rsid w:val="00AE725D"/>
    <w:rsid w:val="00B72E01"/>
    <w:rsid w:val="00CF03B8"/>
    <w:rsid w:val="00F05B6D"/>
    <w:rsid w:val="00F44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9E78"/>
  <w15:chartTrackingRefBased/>
  <w15:docId w15:val="{827E2B6E-4A02-4E43-A94E-9955C714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NormalWeb">
    <w:name w:val="Normal (Web)"/>
    <w:basedOn w:val="Normal"/>
    <w:uiPriority w:val="99"/>
    <w:semiHidden/>
    <w:unhideWhenUsed/>
    <w:rsid w:val="005363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363A6"/>
    <w:rPr>
      <w:b/>
      <w:bCs/>
    </w:rPr>
  </w:style>
  <w:style w:type="character" w:styleId="Emphasis">
    <w:name w:val="Emphasis"/>
    <w:basedOn w:val="DefaultParagraphFont"/>
    <w:uiPriority w:val="20"/>
    <w:qFormat/>
    <w:rsid w:val="005363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723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2019-09-19T17:29:00Z</dcterms:created>
  <dcterms:modified xsi:type="dcterms:W3CDTF">2019-09-19T17:29:00Z</dcterms:modified>
</cp:coreProperties>
</file>